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onsPlusNormal"/>
        <w:jc w:val="both"/>
      </w:pPr>
      <w:bookmarkStart w:id="0" w:name="_GoBack"/>
      <w:bookmarkEnd w:id="0"/>
    </w:p>
    <w:p>
      <w:pPr>
        <w:pStyle w:val="ConsPlusNormal"/>
        <w:jc w:val="right"/>
        <w:outlineLvl w:val="0"/>
      </w:pPr>
      <w:r>
        <w:t xml:space="preserve">                                                                                                                                                                                                    Утвержден</w:t>
      </w:r>
    </w:p>
    <w:p>
      <w:pPr>
        <w:pStyle w:val="ConsPlusNormal"/>
        <w:jc w:val="right"/>
      </w:pPr>
      <w:r>
        <w:t>приказом Фонда</w:t>
      </w:r>
    </w:p>
    <w:p>
      <w:pPr>
        <w:pStyle w:val="ConsPlusNormal"/>
        <w:jc w:val="right"/>
      </w:pPr>
      <w:r>
        <w:t>социального страхования</w:t>
      </w:r>
    </w:p>
    <w:p>
      <w:pPr>
        <w:pStyle w:val="ConsPlusNormal"/>
        <w:jc w:val="right"/>
      </w:pPr>
      <w:r>
        <w:t>Российской Федерации</w:t>
      </w:r>
    </w:p>
    <w:p>
      <w:pPr>
        <w:pStyle w:val="ConsPlusNormal"/>
        <w:jc w:val="right"/>
      </w:pPr>
      <w:r>
        <w:t>от 24 марта 2021 г. N 93</w:t>
      </w:r>
    </w:p>
    <w:p>
      <w:pPr>
        <w:pStyle w:val="ConsPlusNormal"/>
        <w:jc w:val="center"/>
      </w:pPr>
    </w:p>
    <w:p>
      <w:pPr>
        <w:pStyle w:val="ConsPlusNormal"/>
        <w:jc w:val="center"/>
      </w:pPr>
    </w:p>
    <w:p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31"/>
      <w:bookmarkEnd w:id="1"/>
    </w:p>
    <w:p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>
      <w:pPr>
        <w:pStyle w:val="ConsPlusNormal"/>
        <w:jc w:val="center"/>
      </w:pPr>
      <w:r>
        <w:t>ПЛАН</w:t>
      </w:r>
    </w:p>
    <w:p>
      <w:pPr>
        <w:pStyle w:val="ConsPlusNormal"/>
        <w:jc w:val="center"/>
      </w:pPr>
      <w:r>
        <w:t>ПРОТИВОДЕЙСТВИЯ КОРРУПЦИИ В ФОНДЕ СОЦИАЛЬНОГО СТРАХОВАНИЯ</w:t>
      </w:r>
    </w:p>
    <w:p>
      <w:pPr>
        <w:pStyle w:val="ConsPlusNormal"/>
        <w:jc w:val="center"/>
      </w:pPr>
      <w:r>
        <w:t>РОССИЙСКОЙ ФЕДЕРАЦИИ на 2021 ГОД</w:t>
      </w:r>
    </w:p>
    <w:p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4567"/>
        <w:gridCol w:w="2154"/>
        <w:gridCol w:w="1926"/>
        <w:gridCol w:w="4819"/>
      </w:tblGrid>
      <w:tr>
        <w:tc>
          <w:tcPr>
            <w:tcW w:w="851" w:type="dxa"/>
          </w:tcPr>
          <w:p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№ п/п</w:t>
            </w:r>
          </w:p>
        </w:tc>
        <w:tc>
          <w:tcPr>
            <w:tcW w:w="4567" w:type="dxa"/>
          </w:tcPr>
          <w:p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Мероприятия</w:t>
            </w:r>
          </w:p>
        </w:tc>
        <w:tc>
          <w:tcPr>
            <w:tcW w:w="2154" w:type="dxa"/>
          </w:tcPr>
          <w:p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Ответственные исполнители</w:t>
            </w:r>
          </w:p>
        </w:tc>
        <w:tc>
          <w:tcPr>
            <w:tcW w:w="1926" w:type="dxa"/>
          </w:tcPr>
          <w:p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Срок исполнения</w:t>
            </w:r>
          </w:p>
        </w:tc>
        <w:tc>
          <w:tcPr>
            <w:tcW w:w="4819" w:type="dxa"/>
            <w:tcBorders>
              <w:bottom w:val="single" w:sz="4" w:space="0" w:color="auto"/>
            </w:tcBorders>
          </w:tcPr>
          <w:p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Ожидаемый результат</w:t>
            </w:r>
          </w:p>
        </w:tc>
      </w:tr>
      <w:tr>
        <w:tc>
          <w:tcPr>
            <w:tcW w:w="851" w:type="dxa"/>
            <w:vMerge w:val="restart"/>
          </w:tcPr>
          <w:p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1.</w:t>
            </w:r>
          </w:p>
        </w:tc>
        <w:tc>
          <w:tcPr>
            <w:tcW w:w="4567" w:type="dxa"/>
            <w:vMerge w:val="restart"/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Обеспечение своевременного представления сведений о доходах, расходах, об имуществе и обязательствах имущественного характера в отношении себя, своих супруги (супруга) и несовершеннолетних детей (далее - сведения о доходах) в Административно-контрольный департамент:</w:t>
            </w:r>
          </w:p>
        </w:tc>
        <w:tc>
          <w:tcPr>
            <w:tcW w:w="2154" w:type="dxa"/>
            <w:vMerge w:val="restart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</w:p>
        </w:tc>
        <w:tc>
          <w:tcPr>
            <w:tcW w:w="1926" w:type="dxa"/>
            <w:vMerge w:val="restart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4819" w:type="dxa"/>
            <w:tcBorders>
              <w:bottom w:val="nil"/>
            </w:tcBorders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color w:val="000000" w:themeColor="text1"/>
                <w:szCs w:val="22"/>
              </w:rPr>
              <w:t>Своевременное</w:t>
            </w:r>
            <w:r>
              <w:rPr>
                <w:rFonts w:asciiTheme="minorHAnsi" w:hAnsiTheme="minorHAnsi" w:cs="Times New Roman"/>
                <w:szCs w:val="22"/>
              </w:rPr>
              <w:t xml:space="preserve"> представление работниками центрального аппарата Фонда социального страхования Российской Федерации (далее – Фонд) и региональных отделений Фонда, а также гражданами и кандидатами, претендующими на должности, обязанности своевременно представить сведения о доходах.</w:t>
            </w:r>
          </w:p>
        </w:tc>
      </w:tr>
      <w:tr>
        <w:trPr>
          <w:trHeight w:val="507"/>
        </w:trPr>
        <w:tc>
          <w:tcPr>
            <w:tcW w:w="851" w:type="dxa"/>
            <w:vMerge/>
          </w:tcPr>
          <w:p>
            <w:pPr>
              <w:rPr>
                <w:rFonts w:cs="Times New Roman"/>
              </w:rPr>
            </w:pPr>
          </w:p>
        </w:tc>
        <w:tc>
          <w:tcPr>
            <w:tcW w:w="4567" w:type="dxa"/>
            <w:vMerge/>
            <w:tcBorders>
              <w:bottom w:val="nil"/>
            </w:tcBorders>
          </w:tcPr>
          <w:p>
            <w:pPr>
              <w:rPr>
                <w:rFonts w:cs="Times New Roman"/>
              </w:rPr>
            </w:pPr>
          </w:p>
        </w:tc>
        <w:tc>
          <w:tcPr>
            <w:tcW w:w="2154" w:type="dxa"/>
            <w:vMerge/>
          </w:tcPr>
          <w:p>
            <w:pPr>
              <w:rPr>
                <w:rFonts w:cs="Times New Roman"/>
              </w:rPr>
            </w:pPr>
          </w:p>
        </w:tc>
        <w:tc>
          <w:tcPr>
            <w:tcW w:w="1926" w:type="dxa"/>
            <w:vMerge/>
          </w:tcPr>
          <w:p>
            <w:pPr>
              <w:rPr>
                <w:rFonts w:cs="Times New Roman"/>
              </w:rPr>
            </w:pPr>
          </w:p>
        </w:tc>
        <w:tc>
          <w:tcPr>
            <w:tcW w:w="4819" w:type="dxa"/>
            <w:vMerge w:val="restart"/>
            <w:tcBorders>
              <w:top w:val="nil"/>
              <w:bottom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</w:rPr>
            </w:pPr>
          </w:p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</w:rPr>
            </w:pPr>
          </w:p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Своевременное представление работниками центрального аппарата Фонда, замещающими должности, включенные в   Перечень должностей при назначении на которые граждане и при замещении которых работники обязаны представлять сведения о 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</w:rPr>
            </w:pPr>
          </w:p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своих доходах, об имуществе и обязательствах </w:t>
            </w:r>
            <w:r>
              <w:rPr>
                <w:rFonts w:cs="Times New Roman"/>
              </w:rPr>
              <w:lastRenderedPageBreak/>
              <w:t>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 приказом Фонда от 07.11.2019 № 644 (далее – Перечень должностей), управляющими и заместителями управляющих региональными отделениями Фонда, а также руководителями   федеральных бюджетных учреждений центров реабилитации Фонда сведений о доходах либо заявлений о невозможности по объективным причинам представить сведения о доходах на своих супругу (супруга) и несовершеннолетних детей в соответствии с Порядком представления гражданами, претендующими на должности, и работниками, занимающими должности в Фонде социального страхования Российской Федерации,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детей, утвержденным приказом Фонда от 20.04.2020 № 237 и на основании статьи 275 Трудового кодекса Российской Федерации.</w:t>
            </w:r>
          </w:p>
        </w:tc>
      </w:tr>
      <w:tr>
        <w:tc>
          <w:tcPr>
            <w:tcW w:w="851" w:type="dxa"/>
            <w:vMerge/>
          </w:tcPr>
          <w:p>
            <w:pPr>
              <w:rPr>
                <w:rFonts w:cs="Times New Roman"/>
              </w:rPr>
            </w:pPr>
          </w:p>
        </w:tc>
        <w:tc>
          <w:tcPr>
            <w:tcW w:w="4567" w:type="dxa"/>
            <w:tcBorders>
              <w:top w:val="nil"/>
            </w:tcBorders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а) работниками центрального аппарата Фонда и управляющими и заместителями управляющих государственными учреждениями - региональными отделениями Фонда и руководителями федеральных бюджетных учреждениях центров реабилитации Фонда (далее – региональные отделения Фонда, Фонда);</w:t>
            </w:r>
          </w:p>
        </w:tc>
        <w:tc>
          <w:tcPr>
            <w:tcW w:w="2154" w:type="dxa"/>
            <w:vMerge/>
          </w:tcPr>
          <w:p>
            <w:pPr>
              <w:rPr>
                <w:rFonts w:cs="Times New Roman"/>
              </w:rPr>
            </w:pPr>
          </w:p>
        </w:tc>
        <w:tc>
          <w:tcPr>
            <w:tcW w:w="1926" w:type="dxa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а) до 30 апреля</w:t>
            </w:r>
          </w:p>
        </w:tc>
        <w:tc>
          <w:tcPr>
            <w:tcW w:w="481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rPr>
                <w:rFonts w:cs="Times New Roman"/>
              </w:rPr>
            </w:pPr>
          </w:p>
        </w:tc>
      </w:tr>
      <w:tr>
        <w:tc>
          <w:tcPr>
            <w:tcW w:w="851" w:type="dxa"/>
            <w:vMerge/>
          </w:tcPr>
          <w:p>
            <w:pPr>
              <w:rPr>
                <w:rFonts w:cs="Times New Roman"/>
              </w:rPr>
            </w:pPr>
          </w:p>
        </w:tc>
        <w:tc>
          <w:tcPr>
            <w:tcW w:w="4567" w:type="dxa"/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б) гражданами, при назначении на должности, предусмотренные Перечнем должностей и лица, поступающие на должности руководителей федеральных бюджетных учреждений центров реабилитации Фонда;</w:t>
            </w:r>
          </w:p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2154" w:type="dxa"/>
            <w:vMerge/>
          </w:tcPr>
          <w:p>
            <w:pPr>
              <w:rPr>
                <w:rFonts w:cs="Times New Roman"/>
              </w:rPr>
            </w:pPr>
          </w:p>
        </w:tc>
        <w:tc>
          <w:tcPr>
            <w:tcW w:w="1926" w:type="dxa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б) при приеме на работу</w:t>
            </w:r>
          </w:p>
        </w:tc>
        <w:tc>
          <w:tcPr>
            <w:tcW w:w="481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rPr>
                <w:rFonts w:cs="Times New Roman"/>
              </w:rPr>
            </w:pPr>
          </w:p>
        </w:tc>
      </w:tr>
      <w:tr>
        <w:trPr>
          <w:trHeight w:val="507"/>
        </w:trPr>
        <w:tc>
          <w:tcPr>
            <w:tcW w:w="851" w:type="dxa"/>
            <w:vMerge/>
          </w:tcPr>
          <w:p>
            <w:pPr>
              <w:rPr>
                <w:rFonts w:cs="Times New Roman"/>
              </w:rPr>
            </w:pPr>
          </w:p>
        </w:tc>
        <w:tc>
          <w:tcPr>
            <w:tcW w:w="4567" w:type="dxa"/>
            <w:vMerge w:val="restart"/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 xml:space="preserve">в) работниками, занимающими должности в центральном аппарате Фонда, региональных отделениях,   федеральных бюджетных учреждениях центрах реабилитации Фонда не предусмотренные </w:t>
            </w:r>
            <w:hyperlink r:id="rId8" w:history="1">
              <w:r>
                <w:rPr>
                  <w:rFonts w:asciiTheme="minorHAnsi" w:hAnsiTheme="minorHAnsi" w:cs="Times New Roman"/>
                  <w:color w:val="000000" w:themeColor="text1"/>
                  <w:szCs w:val="22"/>
                </w:rPr>
                <w:t>Перечнем</w:t>
              </w:r>
            </w:hyperlink>
            <w:r>
              <w:rPr>
                <w:rFonts w:asciiTheme="minorHAnsi" w:hAnsiTheme="minorHAnsi" w:cs="Times New Roman"/>
                <w:szCs w:val="22"/>
              </w:rPr>
              <w:t xml:space="preserve"> должностей, и претендующими на должности, предусмотренные </w:t>
            </w:r>
            <w:hyperlink r:id="rId9" w:history="1">
              <w:r>
                <w:rPr>
                  <w:rFonts w:asciiTheme="minorHAnsi" w:hAnsiTheme="minorHAnsi" w:cs="Times New Roman"/>
                  <w:color w:val="000000" w:themeColor="text1"/>
                  <w:szCs w:val="22"/>
                </w:rPr>
                <w:t>Перечнем</w:t>
              </w:r>
            </w:hyperlink>
            <w:r>
              <w:rPr>
                <w:rFonts w:asciiTheme="minorHAnsi" w:hAnsiTheme="minorHAnsi" w:cs="Times New Roman"/>
                <w:color w:val="000000" w:themeColor="text1"/>
                <w:szCs w:val="22"/>
              </w:rPr>
              <w:t xml:space="preserve"> </w:t>
            </w:r>
            <w:r>
              <w:rPr>
                <w:rFonts w:asciiTheme="minorHAnsi" w:hAnsiTheme="minorHAnsi" w:cs="Times New Roman"/>
                <w:szCs w:val="22"/>
              </w:rPr>
              <w:t>должностей (далее - кандидаты на должности).</w:t>
            </w:r>
          </w:p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2154" w:type="dxa"/>
            <w:vMerge/>
          </w:tcPr>
          <w:p>
            <w:pPr>
              <w:rPr>
                <w:rFonts w:cs="Times New Roman"/>
              </w:rPr>
            </w:pPr>
          </w:p>
        </w:tc>
        <w:tc>
          <w:tcPr>
            <w:tcW w:w="1926" w:type="dxa"/>
            <w:vMerge w:val="restart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в) при переводе на должность</w:t>
            </w:r>
          </w:p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rPr>
                <w:rFonts w:cs="Times New Roman"/>
              </w:rPr>
            </w:pPr>
          </w:p>
        </w:tc>
      </w:tr>
      <w:tr>
        <w:tblPrEx>
          <w:tblBorders>
            <w:insideH w:val="nil"/>
          </w:tblBorders>
        </w:tblPrEx>
        <w:tc>
          <w:tcPr>
            <w:tcW w:w="851" w:type="dxa"/>
            <w:vMerge/>
          </w:tcPr>
          <w:p>
            <w:pPr>
              <w:rPr>
                <w:rFonts w:cs="Times New Roman"/>
              </w:rPr>
            </w:pPr>
          </w:p>
        </w:tc>
        <w:tc>
          <w:tcPr>
            <w:tcW w:w="4567" w:type="dxa"/>
            <w:vMerge/>
          </w:tcPr>
          <w:p>
            <w:pPr>
              <w:rPr>
                <w:rFonts w:cs="Times New Roman"/>
              </w:rPr>
            </w:pPr>
          </w:p>
        </w:tc>
        <w:tc>
          <w:tcPr>
            <w:tcW w:w="2154" w:type="dxa"/>
            <w:vMerge/>
          </w:tcPr>
          <w:p>
            <w:pPr>
              <w:rPr>
                <w:rFonts w:cs="Times New Roman"/>
              </w:rPr>
            </w:pPr>
          </w:p>
        </w:tc>
        <w:tc>
          <w:tcPr>
            <w:tcW w:w="1926" w:type="dxa"/>
            <w:vMerge/>
          </w:tcPr>
          <w:p>
            <w:pPr>
              <w:rPr>
                <w:rFonts w:cs="Times New Roman"/>
              </w:rPr>
            </w:pPr>
          </w:p>
        </w:tc>
        <w:tc>
          <w:tcPr>
            <w:tcW w:w="4819" w:type="dxa"/>
            <w:tcBorders>
              <w:top w:val="single" w:sz="4" w:space="0" w:color="auto"/>
              <w:bottom w:val="nil"/>
            </w:tcBorders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 xml:space="preserve">Обеспечение работниками отдела по профилактике коррупционных и иных правонарушений Административно-контрольного департамента представление сведений о доходах в соответствии с требованиями Методических рекомендаций Министерства труда и социальной защиты Российской Федерации (далее – Минтруд </w:t>
            </w:r>
            <w:r>
              <w:rPr>
                <w:rFonts w:asciiTheme="minorHAnsi" w:hAnsiTheme="minorHAnsi" w:cs="Times New Roman"/>
                <w:szCs w:val="22"/>
              </w:rPr>
              <w:lastRenderedPageBreak/>
              <w:t>России) по вопросам представления (заполнения) сведений о доходах.</w:t>
            </w:r>
          </w:p>
        </w:tc>
      </w:tr>
      <w:tr>
        <w:tc>
          <w:tcPr>
            <w:tcW w:w="851" w:type="dxa"/>
            <w:vMerge/>
          </w:tcPr>
          <w:p>
            <w:pPr>
              <w:rPr>
                <w:rFonts w:cs="Times New Roman"/>
              </w:rPr>
            </w:pPr>
          </w:p>
        </w:tc>
        <w:tc>
          <w:tcPr>
            <w:tcW w:w="4567" w:type="dxa"/>
            <w:vMerge/>
          </w:tcPr>
          <w:p>
            <w:pPr>
              <w:rPr>
                <w:rFonts w:cs="Times New Roman"/>
              </w:rPr>
            </w:pPr>
          </w:p>
        </w:tc>
        <w:tc>
          <w:tcPr>
            <w:tcW w:w="2154" w:type="dxa"/>
            <w:vMerge/>
          </w:tcPr>
          <w:p>
            <w:pPr>
              <w:rPr>
                <w:rFonts w:cs="Times New Roman"/>
              </w:rPr>
            </w:pPr>
          </w:p>
        </w:tc>
        <w:tc>
          <w:tcPr>
            <w:tcW w:w="1926" w:type="dxa"/>
            <w:vMerge/>
          </w:tcPr>
          <w:p>
            <w:pPr>
              <w:rPr>
                <w:rFonts w:cs="Times New Roman"/>
              </w:rPr>
            </w:pPr>
          </w:p>
        </w:tc>
        <w:tc>
          <w:tcPr>
            <w:tcW w:w="4819" w:type="dxa"/>
            <w:tcBorders>
              <w:top w:val="nil"/>
            </w:tcBorders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Организация принятия мер в случае не представления сведений о доходах.</w:t>
            </w:r>
          </w:p>
        </w:tc>
      </w:tr>
      <w:tr>
        <w:tc>
          <w:tcPr>
            <w:tcW w:w="851" w:type="dxa"/>
            <w:vMerge w:val="restart"/>
          </w:tcPr>
          <w:p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2.</w:t>
            </w:r>
          </w:p>
        </w:tc>
        <w:tc>
          <w:tcPr>
            <w:tcW w:w="4567" w:type="dxa"/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Обеспечение своевременного представления уточненных сведений о доходах в отдел по профилактике коррупционных и иных правонарушений Административно-контрольного департамента:</w:t>
            </w:r>
          </w:p>
        </w:tc>
        <w:tc>
          <w:tcPr>
            <w:tcW w:w="2154" w:type="dxa"/>
            <w:vMerge w:val="restart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</w:p>
        </w:tc>
        <w:tc>
          <w:tcPr>
            <w:tcW w:w="1926" w:type="dxa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4819" w:type="dxa"/>
            <w:vMerge w:val="restart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Своевременное представление работниками центрального аппарата Фонда, управляющими и заместителями управляющих региональными отделениями Фонда и руководителями   федеральных бюджетных учреждениий центров реабилитации Фонда, а также гражданами и кандидатами, претендующими на должности, полных и достоверных сведения о доходах в соответствии с Порядком представления гражданами, претендующими на должности, и работниками, занимающими должности в Фонде социального страхования Российской Федерации,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детей, утвержденным приказом Фонда от 20.04.2020 № 237.</w:t>
            </w:r>
          </w:p>
        </w:tc>
      </w:tr>
      <w:tr>
        <w:tc>
          <w:tcPr>
            <w:tcW w:w="851" w:type="dxa"/>
            <w:vMerge/>
          </w:tcPr>
          <w:p>
            <w:pPr>
              <w:rPr>
                <w:rFonts w:cs="Times New Roman"/>
              </w:rPr>
            </w:pPr>
          </w:p>
        </w:tc>
        <w:tc>
          <w:tcPr>
            <w:tcW w:w="4567" w:type="dxa"/>
            <w:tcBorders>
              <w:bottom w:val="single" w:sz="4" w:space="0" w:color="auto"/>
            </w:tcBorders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а) работниками центрального аппарата Фонда, региональных отделений Фонда и руководителями   федеральных бюджетных учреждениях центров реабилитации Фонда;</w:t>
            </w:r>
          </w:p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2154" w:type="dxa"/>
            <w:vMerge/>
          </w:tcPr>
          <w:p>
            <w:pPr>
              <w:rPr>
                <w:rFonts w:cs="Times New Roman"/>
              </w:rPr>
            </w:pPr>
          </w:p>
        </w:tc>
        <w:tc>
          <w:tcPr>
            <w:tcW w:w="1926" w:type="dxa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а) до 31 мая</w:t>
            </w:r>
          </w:p>
        </w:tc>
        <w:tc>
          <w:tcPr>
            <w:tcW w:w="4819" w:type="dxa"/>
            <w:vMerge/>
          </w:tcPr>
          <w:p>
            <w:pPr>
              <w:rPr>
                <w:rFonts w:cs="Times New Roman"/>
              </w:rPr>
            </w:pPr>
          </w:p>
        </w:tc>
      </w:tr>
      <w:tr>
        <w:trPr>
          <w:trHeight w:val="1125"/>
        </w:trPr>
        <w:tc>
          <w:tcPr>
            <w:tcW w:w="851" w:type="dxa"/>
            <w:vMerge/>
          </w:tcPr>
          <w:p>
            <w:pPr>
              <w:rPr>
                <w:rFonts w:cs="Times New Roman"/>
              </w:rPr>
            </w:pPr>
          </w:p>
        </w:tc>
        <w:tc>
          <w:tcPr>
            <w:tcW w:w="4567" w:type="dxa"/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 xml:space="preserve">б) </w:t>
            </w:r>
            <w:r>
              <w:rPr>
                <w:rFonts w:asciiTheme="minorHAnsi" w:hAnsiTheme="minorHAnsi" w:cs="Times New Roman"/>
                <w:color w:val="000000" w:themeColor="text1"/>
                <w:szCs w:val="22"/>
              </w:rPr>
              <w:t xml:space="preserve">гражданами, претендующими на должности в центральном </w:t>
            </w:r>
            <w:r>
              <w:rPr>
                <w:rFonts w:asciiTheme="minorHAnsi" w:hAnsiTheme="minorHAnsi" w:cs="Times New Roman"/>
                <w:szCs w:val="22"/>
              </w:rPr>
              <w:t>аппарате Фонда, в региональных отделениях Фонда и претендующими на должности руководителей федеральных бюджетных учреждений центров реабилитации Фонда;</w:t>
            </w:r>
          </w:p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2154" w:type="dxa"/>
            <w:vMerge/>
          </w:tcPr>
          <w:p>
            <w:pPr>
              <w:rPr>
                <w:rFonts w:cs="Times New Roman"/>
              </w:rPr>
            </w:pPr>
          </w:p>
        </w:tc>
        <w:tc>
          <w:tcPr>
            <w:tcW w:w="1926" w:type="dxa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б) в течение месяца со дня представления документов о приеме на работу</w:t>
            </w:r>
          </w:p>
        </w:tc>
        <w:tc>
          <w:tcPr>
            <w:tcW w:w="4819" w:type="dxa"/>
            <w:vMerge/>
          </w:tcPr>
          <w:p>
            <w:pPr>
              <w:rPr>
                <w:rFonts w:cs="Times New Roman"/>
              </w:rPr>
            </w:pPr>
          </w:p>
        </w:tc>
      </w:tr>
      <w:tr>
        <w:trPr>
          <w:trHeight w:val="2670"/>
        </w:trPr>
        <w:tc>
          <w:tcPr>
            <w:tcW w:w="851" w:type="dxa"/>
            <w:vMerge/>
          </w:tcPr>
          <w:p>
            <w:pPr>
              <w:rPr>
                <w:rFonts w:cs="Times New Roman"/>
              </w:rPr>
            </w:pPr>
          </w:p>
        </w:tc>
        <w:tc>
          <w:tcPr>
            <w:tcW w:w="4567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в) кандидатами на должности в Фонде, в региональных отделениях Фонда и в федеральных бюджетных учреждениях центрах реабилитации Фонда.</w:t>
            </w:r>
          </w:p>
        </w:tc>
        <w:tc>
          <w:tcPr>
            <w:tcW w:w="2154" w:type="dxa"/>
            <w:vMerge/>
          </w:tcPr>
          <w:p>
            <w:pPr>
              <w:rPr>
                <w:rFonts w:cs="Times New Roman"/>
              </w:rPr>
            </w:pPr>
          </w:p>
        </w:tc>
        <w:tc>
          <w:tcPr>
            <w:tcW w:w="192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в) в течение месяца со дня назначения на должность</w:t>
            </w:r>
          </w:p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4819" w:type="dxa"/>
            <w:vMerge/>
          </w:tcPr>
          <w:p>
            <w:pPr>
              <w:rPr>
                <w:rFonts w:cs="Times New Roman"/>
              </w:rPr>
            </w:pPr>
          </w:p>
        </w:tc>
      </w:tr>
      <w:tr>
        <w:tc>
          <w:tcPr>
            <w:tcW w:w="851" w:type="dxa"/>
            <w:vMerge w:val="restart"/>
          </w:tcPr>
          <w:p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lastRenderedPageBreak/>
              <w:t>3.</w:t>
            </w:r>
          </w:p>
        </w:tc>
        <w:tc>
          <w:tcPr>
            <w:tcW w:w="4567" w:type="dxa"/>
            <w:tcBorders>
              <w:bottom w:val="nil"/>
            </w:tcBorders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Анализ сведений о доходах работников центрального аппарата Фонда, управляющих и заместителей управляющих региональными отделениями Фонда, замещающих соответствующие должности, а также граждан, назначенных на должности.</w:t>
            </w:r>
          </w:p>
        </w:tc>
        <w:tc>
          <w:tcPr>
            <w:tcW w:w="2154" w:type="dxa"/>
            <w:vMerge w:val="restart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</w:p>
        </w:tc>
        <w:tc>
          <w:tcPr>
            <w:tcW w:w="1926" w:type="dxa"/>
            <w:vMerge w:val="restart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По окончании декларационной кампании</w:t>
            </w:r>
          </w:p>
        </w:tc>
        <w:tc>
          <w:tcPr>
            <w:tcW w:w="4819" w:type="dxa"/>
            <w:vMerge w:val="restart"/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Привлечение работников, представивших неполные и недостоверные сведения о доходах к ответственности в соответствии с Положением о проверке достоверности и полноты сведений, представляемых гражданами, претендующими на должности, и работниками, занимающими должности в Фонде социального страхования Российской Федерации, о своих супруги (супруга) и несовершеннолетних детей, а также соблюдения работниками требований к служебному поведению, утвержденными приказом Фонда от 20.04.2020 № 238.</w:t>
            </w:r>
          </w:p>
        </w:tc>
      </w:tr>
      <w:tr>
        <w:tc>
          <w:tcPr>
            <w:tcW w:w="851" w:type="dxa"/>
            <w:vMerge/>
          </w:tcPr>
          <w:p>
            <w:pPr>
              <w:rPr>
                <w:rFonts w:cs="Times New Roman"/>
              </w:rPr>
            </w:pPr>
          </w:p>
        </w:tc>
        <w:tc>
          <w:tcPr>
            <w:tcW w:w="4567" w:type="dxa"/>
            <w:tcBorders>
              <w:top w:val="nil"/>
            </w:tcBorders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Подготовка заключений о результатах анализа полноты и достоверности сведений о доходах за соответствующий год.</w:t>
            </w:r>
          </w:p>
        </w:tc>
        <w:tc>
          <w:tcPr>
            <w:tcW w:w="2154" w:type="dxa"/>
            <w:vMerge/>
          </w:tcPr>
          <w:p>
            <w:pPr>
              <w:rPr>
                <w:rFonts w:cs="Times New Roman"/>
              </w:rPr>
            </w:pPr>
          </w:p>
        </w:tc>
        <w:tc>
          <w:tcPr>
            <w:tcW w:w="1926" w:type="dxa"/>
            <w:vMerge/>
          </w:tcPr>
          <w:p>
            <w:pPr>
              <w:rPr>
                <w:rFonts w:cs="Times New Roman"/>
              </w:rPr>
            </w:pPr>
          </w:p>
        </w:tc>
        <w:tc>
          <w:tcPr>
            <w:tcW w:w="4819" w:type="dxa"/>
            <w:vMerge/>
          </w:tcPr>
          <w:p>
            <w:pPr>
              <w:rPr>
                <w:rFonts w:cs="Times New Roman"/>
              </w:rPr>
            </w:pPr>
          </w:p>
        </w:tc>
      </w:tr>
      <w:tr>
        <w:tc>
          <w:tcPr>
            <w:tcW w:w="851" w:type="dxa"/>
          </w:tcPr>
          <w:p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4.</w:t>
            </w:r>
          </w:p>
        </w:tc>
        <w:tc>
          <w:tcPr>
            <w:tcW w:w="4567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Размещение сведений о доходах работников центрального аппарата Фонда, включенных в Перечень должностей, замещение которых влечет за собой размещение сведений о доходах, расходах, об имуществе и обязательствах имущественного характера работников центрального аппарата Фонда социального страхования Российской Федерации и государственных учреждений - региональных отделений Фонда социального страхования Российской Федерации, а также сведений о доходах, расходах, об имуществе и обязательствах имущественного характера их супруг (супругов) и несовершеннолетних детей на официальных сайтах центрального аппарата Фонда социального страхования Российской Федерации и государственных учреждений - региональных отделений Фонда социального страхования Российской Федерации, утвержденный приказом Фонда от 20.04.2020 № 240.</w:t>
            </w:r>
          </w:p>
        </w:tc>
        <w:tc>
          <w:tcPr>
            <w:tcW w:w="2154" w:type="dxa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</w:p>
        </w:tc>
        <w:tc>
          <w:tcPr>
            <w:tcW w:w="1926" w:type="dxa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В течение 14 рабочих дней со дня истечения срока, установленного для размещения указанных сведений</w:t>
            </w:r>
          </w:p>
        </w:tc>
        <w:tc>
          <w:tcPr>
            <w:tcW w:w="4819" w:type="dxa"/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Обеспечение открытости и доступности сведений о доходах работников центрального аппарата Фонда.</w:t>
            </w:r>
          </w:p>
        </w:tc>
      </w:tr>
      <w:tr>
        <w:tc>
          <w:tcPr>
            <w:tcW w:w="851" w:type="dxa"/>
          </w:tcPr>
          <w:p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5.</w:t>
            </w:r>
          </w:p>
        </w:tc>
        <w:tc>
          <w:tcPr>
            <w:tcW w:w="4567" w:type="dxa"/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 xml:space="preserve">Проведение проверок достоверности и </w:t>
            </w:r>
            <w:r>
              <w:rPr>
                <w:rFonts w:asciiTheme="minorHAnsi" w:hAnsiTheme="minorHAnsi" w:cs="Times New Roman"/>
                <w:szCs w:val="22"/>
              </w:rPr>
              <w:lastRenderedPageBreak/>
              <w:t>полноты сведений о доходах, представляемых работниками центрального аппарата Фонда и региональных отделений Фонда, замещающими соответствующие должности, включенные в Перечень должностей, а также гражданами, претендующими на данные должности и соблюдения работниками требований к служебному поведению.</w:t>
            </w:r>
          </w:p>
        </w:tc>
        <w:tc>
          <w:tcPr>
            <w:tcW w:w="2154" w:type="dxa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lastRenderedPageBreak/>
              <w:t>Административно-</w:t>
            </w:r>
            <w:r>
              <w:rPr>
                <w:rFonts w:asciiTheme="minorHAnsi" w:hAnsiTheme="minorHAnsi" w:cs="Times New Roman"/>
                <w:szCs w:val="22"/>
              </w:rPr>
              <w:lastRenderedPageBreak/>
              <w:t>контрольный департамент</w:t>
            </w:r>
          </w:p>
        </w:tc>
        <w:tc>
          <w:tcPr>
            <w:tcW w:w="1926" w:type="dxa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lastRenderedPageBreak/>
              <w:t xml:space="preserve">При наличии </w:t>
            </w:r>
            <w:r>
              <w:rPr>
                <w:rFonts w:asciiTheme="minorHAnsi" w:hAnsiTheme="minorHAnsi" w:cs="Times New Roman"/>
                <w:szCs w:val="22"/>
              </w:rPr>
              <w:lastRenderedPageBreak/>
              <w:t>оснований</w:t>
            </w:r>
          </w:p>
        </w:tc>
        <w:tc>
          <w:tcPr>
            <w:tcW w:w="4819" w:type="dxa"/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lastRenderedPageBreak/>
              <w:t xml:space="preserve">Выявление случаев представления неполных </w:t>
            </w:r>
            <w:r>
              <w:rPr>
                <w:rFonts w:asciiTheme="minorHAnsi" w:hAnsiTheme="minorHAnsi" w:cs="Times New Roman"/>
                <w:szCs w:val="22"/>
              </w:rPr>
              <w:lastRenderedPageBreak/>
              <w:t>и/или недостоверных сведений о доходах и направление материалов проверок на рассмотрение в Комиссию центрального аппарата Фонда социального страхования Российской Федерации и его территориальных органов по соблюдению требований к служебному поведению работников и урегулированию конфликта интересов (далее – Комиссия).</w:t>
            </w:r>
          </w:p>
        </w:tc>
      </w:tr>
      <w:tr>
        <w:tc>
          <w:tcPr>
            <w:tcW w:w="851" w:type="dxa"/>
            <w:vMerge w:val="restart"/>
          </w:tcPr>
          <w:p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lastRenderedPageBreak/>
              <w:t>6.</w:t>
            </w:r>
          </w:p>
        </w:tc>
        <w:tc>
          <w:tcPr>
            <w:tcW w:w="4567" w:type="dxa"/>
            <w:vMerge w:val="restart"/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Проведение проверок организации антикоррупционной работы в региональных отделениях Фонда и в федеральных бюджетных учреждениях центрах реабилитации Фонда.</w:t>
            </w:r>
          </w:p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Проведение проверок организации антикоррупционной работы в региональных отделениях Фонда и в федеральных бюджетных учреждениях центрах реабилитации Фонда.</w:t>
            </w:r>
          </w:p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 (в рамках полномочий)</w:t>
            </w:r>
          </w:p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Департамент контрольно-ревизионной работы (в рамках полномочий)</w:t>
            </w:r>
          </w:p>
        </w:tc>
        <w:tc>
          <w:tcPr>
            <w:tcW w:w="1926" w:type="dxa"/>
            <w:tcBorders>
              <w:bottom w:val="nil"/>
            </w:tcBorders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Согласно графику проверок на текущий год.</w:t>
            </w:r>
          </w:p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Внеплановые проверки (при наличии оснований)</w:t>
            </w:r>
          </w:p>
        </w:tc>
        <w:tc>
          <w:tcPr>
            <w:tcW w:w="4819" w:type="dxa"/>
            <w:vMerge w:val="restart"/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Выявление случаев нарушения законодательства о противодействии коррупции, принятие мер по устранению нарушений и оказание практической помощи.</w:t>
            </w:r>
          </w:p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Выявление случаев нарушения законодательства о противодействии коррупции.</w:t>
            </w:r>
          </w:p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</w:tc>
      </w:tr>
      <w:tr>
        <w:tblPrEx>
          <w:tblBorders>
            <w:insideH w:val="nil"/>
          </w:tblBorders>
        </w:tblPrEx>
        <w:trPr>
          <w:trHeight w:val="507"/>
        </w:trPr>
        <w:tc>
          <w:tcPr>
            <w:tcW w:w="851" w:type="dxa"/>
            <w:vMerge/>
          </w:tcPr>
          <w:p>
            <w:pPr>
              <w:rPr>
                <w:rFonts w:cs="Times New Roman"/>
              </w:rPr>
            </w:pPr>
          </w:p>
        </w:tc>
        <w:tc>
          <w:tcPr>
            <w:tcW w:w="4567" w:type="dxa"/>
            <w:vMerge/>
          </w:tcPr>
          <w:p>
            <w:pPr>
              <w:rPr>
                <w:rFonts w:cs="Times New Roman"/>
              </w:rPr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>
            <w:pPr>
              <w:rPr>
                <w:rFonts w:cs="Times New Roman"/>
              </w:rPr>
            </w:pPr>
          </w:p>
        </w:tc>
        <w:tc>
          <w:tcPr>
            <w:tcW w:w="1926" w:type="dxa"/>
            <w:vMerge w:val="restart"/>
            <w:tcBorders>
              <w:top w:val="nil"/>
            </w:tcBorders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 xml:space="preserve">Согласно Планам проведения ревизий и проверок региональных отделений Фонда и проверок внутреннего контроля и аудита отдельных направлений деятельности федеральных бюджетных учреждений центров реабилитации Фонда на текущий </w:t>
            </w:r>
            <w:r>
              <w:rPr>
                <w:rFonts w:asciiTheme="minorHAnsi" w:hAnsiTheme="minorHAnsi" w:cs="Times New Roman"/>
                <w:szCs w:val="22"/>
              </w:rPr>
              <w:lastRenderedPageBreak/>
              <w:t>год.</w:t>
            </w:r>
          </w:p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Внеплановые ревизии и проверки региональных отделений Фонда (при наличии оснований).</w:t>
            </w:r>
          </w:p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4819" w:type="dxa"/>
            <w:vMerge/>
          </w:tcPr>
          <w:p>
            <w:pPr>
              <w:rPr>
                <w:rFonts w:cs="Times New Roman"/>
              </w:rPr>
            </w:pPr>
          </w:p>
        </w:tc>
      </w:tr>
      <w:tr>
        <w:tc>
          <w:tcPr>
            <w:tcW w:w="851" w:type="dxa"/>
            <w:vMerge/>
          </w:tcPr>
          <w:p>
            <w:pPr>
              <w:rPr>
                <w:rFonts w:cs="Times New Roman"/>
              </w:rPr>
            </w:pPr>
          </w:p>
        </w:tc>
        <w:tc>
          <w:tcPr>
            <w:tcW w:w="4567" w:type="dxa"/>
            <w:vMerge/>
          </w:tcPr>
          <w:p>
            <w:pPr>
              <w:rPr>
                <w:rFonts w:cs="Times New Roman"/>
              </w:rPr>
            </w:pPr>
          </w:p>
        </w:tc>
        <w:tc>
          <w:tcPr>
            <w:tcW w:w="2154" w:type="dxa"/>
            <w:tcBorders>
              <w:top w:val="nil"/>
            </w:tcBorders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1926" w:type="dxa"/>
            <w:vMerge/>
            <w:tcBorders>
              <w:top w:val="nil"/>
            </w:tcBorders>
          </w:tcPr>
          <w:p>
            <w:pPr>
              <w:rPr>
                <w:rFonts w:cs="Times New Roman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>
            <w:pPr>
              <w:rPr>
                <w:rFonts w:cs="Times New Roman"/>
              </w:rPr>
            </w:pPr>
          </w:p>
        </w:tc>
      </w:tr>
      <w:tr>
        <w:tc>
          <w:tcPr>
            <w:tcW w:w="851" w:type="dxa"/>
            <w:vMerge w:val="restart"/>
          </w:tcPr>
          <w:p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lastRenderedPageBreak/>
              <w:t>7.</w:t>
            </w:r>
          </w:p>
        </w:tc>
        <w:tc>
          <w:tcPr>
            <w:tcW w:w="4567" w:type="dxa"/>
            <w:vMerge w:val="restart"/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Выявление в средствах массовой информации публикаций и сообщений о фактах коррупции, ненадлежащего исполнения своих должностных обязанностей и требований к служебному поведению работниками центрального аппарата Фонда и управляющими   и заместителями управляющих региональных отделений Фонда, а также о наличии у них конфликта интересов и возможности его возникновения. Выявление сообщений о мерах, принимаемых правоохранительными и иными государственными органами по противодействию коррупционным правонарушениям, их пресечению, а также о расследуемых и возбуждаемых уголовных делах и решениях судов и направление результатов в отдел по профилактике коррупционных и иных правонарушений Административно-контрольного департамента.</w:t>
            </w:r>
          </w:p>
        </w:tc>
        <w:tc>
          <w:tcPr>
            <w:tcW w:w="2154" w:type="dxa"/>
            <w:vMerge w:val="restart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</w:p>
        </w:tc>
        <w:tc>
          <w:tcPr>
            <w:tcW w:w="1926" w:type="dxa"/>
            <w:vMerge w:val="restart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Ежеквартально</w:t>
            </w:r>
          </w:p>
        </w:tc>
        <w:tc>
          <w:tcPr>
            <w:tcW w:w="4819" w:type="dxa"/>
            <w:tcBorders>
              <w:bottom w:val="single" w:sz="4" w:space="0" w:color="auto"/>
            </w:tcBorders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Выявление несоблюдения работниками центрального аппарата Фонда и региональных отделений Фонда установленных ограничений, требований и запретов, организация своевременных и действенных мер по предотвращению конфликта интересов или возможности его возникновения и выявление причин и условий, способствующих совершению коррупционных правонарушений, с целью предотвращения их совершения, а также формирование отрицательного отношения к коррупции у работников.</w:t>
            </w:r>
          </w:p>
        </w:tc>
      </w:tr>
      <w:tr>
        <w:tc>
          <w:tcPr>
            <w:tcW w:w="851" w:type="dxa"/>
            <w:vMerge/>
          </w:tcPr>
          <w:p>
            <w:pPr>
              <w:rPr>
                <w:rFonts w:cs="Times New Roman"/>
              </w:rPr>
            </w:pPr>
          </w:p>
        </w:tc>
        <w:tc>
          <w:tcPr>
            <w:tcW w:w="4567" w:type="dxa"/>
            <w:vMerge/>
          </w:tcPr>
          <w:p>
            <w:pPr>
              <w:rPr>
                <w:rFonts w:cs="Times New Roman"/>
              </w:rPr>
            </w:pPr>
          </w:p>
        </w:tc>
        <w:tc>
          <w:tcPr>
            <w:tcW w:w="2154" w:type="dxa"/>
            <w:vMerge/>
          </w:tcPr>
          <w:p>
            <w:pPr>
              <w:rPr>
                <w:rFonts w:cs="Times New Roman"/>
              </w:rPr>
            </w:pPr>
          </w:p>
        </w:tc>
        <w:tc>
          <w:tcPr>
            <w:tcW w:w="1926" w:type="dxa"/>
            <w:vMerge/>
          </w:tcPr>
          <w:p>
            <w:pPr>
              <w:rPr>
                <w:rFonts w:cs="Times New Roman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Учет в планировании и организации мероприятий по профилактике коррупции в центральном аппарате Фонда и региональных отделений Фонда.</w:t>
            </w:r>
          </w:p>
        </w:tc>
      </w:tr>
      <w:tr>
        <w:tc>
          <w:tcPr>
            <w:tcW w:w="851" w:type="dxa"/>
          </w:tcPr>
          <w:p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8.</w:t>
            </w:r>
          </w:p>
        </w:tc>
        <w:tc>
          <w:tcPr>
            <w:tcW w:w="4567" w:type="dxa"/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Рассмотрение всех обращений граждан и организаций, содержащих информацию о возможных коррупционных правонарушениях.</w:t>
            </w:r>
          </w:p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lastRenderedPageBreak/>
              <w:t>Проведение проверок по всем обращениям граждан, содержащим информацию о фактах коррупции в центральном аппарате Фонда и региональных отделениях Фонда (при наличии сведений, позволяющих провести такую проверку, и указывающих на суть нарушений).</w:t>
            </w:r>
          </w:p>
        </w:tc>
        <w:tc>
          <w:tcPr>
            <w:tcW w:w="2154" w:type="dxa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lastRenderedPageBreak/>
              <w:t>Административно-контрольный департамент,</w:t>
            </w:r>
          </w:p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lastRenderedPageBreak/>
              <w:t>структурные подразделения центрального аппарата Фонда</w:t>
            </w:r>
          </w:p>
        </w:tc>
        <w:tc>
          <w:tcPr>
            <w:tcW w:w="1926" w:type="dxa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lastRenderedPageBreak/>
              <w:t>В течение месяца после получения обращения</w:t>
            </w:r>
          </w:p>
        </w:tc>
        <w:tc>
          <w:tcPr>
            <w:tcW w:w="4819" w:type="dxa"/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Выявление коррупционных правонарушений в центральном аппарате Фонда и региональных отделениях Фонда.</w:t>
            </w:r>
          </w:p>
        </w:tc>
      </w:tr>
      <w:tr>
        <w:trPr>
          <w:trHeight w:val="1520"/>
        </w:trPr>
        <w:tc>
          <w:tcPr>
            <w:tcW w:w="851" w:type="dxa"/>
          </w:tcPr>
          <w:p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lastRenderedPageBreak/>
              <w:t>9.</w:t>
            </w:r>
          </w:p>
        </w:tc>
        <w:tc>
          <w:tcPr>
            <w:tcW w:w="4567" w:type="dxa"/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Мониторинг законодательства о противодействии коррупции и доведение до работников центрального аппарата Фонда и региональных отделений Фонда информации об изменениях.</w:t>
            </w:r>
          </w:p>
        </w:tc>
        <w:tc>
          <w:tcPr>
            <w:tcW w:w="2154" w:type="dxa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</w:p>
        </w:tc>
        <w:tc>
          <w:tcPr>
            <w:tcW w:w="1926" w:type="dxa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В течение 2021 года</w:t>
            </w:r>
          </w:p>
        </w:tc>
        <w:tc>
          <w:tcPr>
            <w:tcW w:w="4819" w:type="dxa"/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Антикоррупционное просвещение в целях повышения уровня знаний работников центрального аппарата Фонда и региональных отделений Фонда законодательства о противодействии коррупции.</w:t>
            </w:r>
          </w:p>
        </w:tc>
      </w:tr>
      <w:tr>
        <w:tc>
          <w:tcPr>
            <w:tcW w:w="851" w:type="dxa"/>
          </w:tcPr>
          <w:p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10.</w:t>
            </w:r>
          </w:p>
        </w:tc>
        <w:tc>
          <w:tcPr>
            <w:tcW w:w="4567" w:type="dxa"/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Размещение на официальном сайте Фонда в информационно-телекоммуникационной сети «Интернет» информации об антикоррупционной деятельности Фонда.</w:t>
            </w:r>
          </w:p>
        </w:tc>
        <w:tc>
          <w:tcPr>
            <w:tcW w:w="2154" w:type="dxa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</w:p>
        </w:tc>
        <w:tc>
          <w:tcPr>
            <w:tcW w:w="1926" w:type="dxa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В течение 2021 года</w:t>
            </w:r>
          </w:p>
        </w:tc>
        <w:tc>
          <w:tcPr>
            <w:tcW w:w="4819" w:type="dxa"/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Обеспечение открытости и доступности сведений об антикоррупционной деятельности Фонда.</w:t>
            </w:r>
          </w:p>
        </w:tc>
      </w:tr>
      <w:tr>
        <w:tc>
          <w:tcPr>
            <w:tcW w:w="851" w:type="dxa"/>
          </w:tcPr>
          <w:p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11.</w:t>
            </w:r>
          </w:p>
        </w:tc>
        <w:tc>
          <w:tcPr>
            <w:tcW w:w="4567" w:type="dxa"/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Размещение на сайте www.regulation.gov.ru в информационно-телекоммуникационной сети «Интернет» проектов актов Фонда, имеющих нормативный правовой характер, за исключением актов, содержащих сведения конфиденциального характера, для проведения независимой антикоррупционной экспертизы и общественного обсуждения.</w:t>
            </w:r>
          </w:p>
        </w:tc>
        <w:tc>
          <w:tcPr>
            <w:tcW w:w="2154" w:type="dxa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Правовой департамент</w:t>
            </w:r>
          </w:p>
        </w:tc>
        <w:tc>
          <w:tcPr>
            <w:tcW w:w="1926" w:type="dxa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В течение 2021 года</w:t>
            </w:r>
          </w:p>
        </w:tc>
        <w:tc>
          <w:tcPr>
            <w:tcW w:w="4819" w:type="dxa"/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Выявление в нормативных правовых актах Фонда и проектах нормативных правовых актов Фонда коррупциногенных факторов, способствующих формированию условий для проявления коррупции, и их исключение.</w:t>
            </w:r>
          </w:p>
        </w:tc>
      </w:tr>
      <w:tr>
        <w:tc>
          <w:tcPr>
            <w:tcW w:w="851" w:type="dxa"/>
          </w:tcPr>
          <w:p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12.</w:t>
            </w:r>
          </w:p>
        </w:tc>
        <w:tc>
          <w:tcPr>
            <w:tcW w:w="4567" w:type="dxa"/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Оказание содействия средствам массовой информации в освещении мер по противодействию коррупции, принимаемых Фондом.</w:t>
            </w:r>
          </w:p>
        </w:tc>
        <w:tc>
          <w:tcPr>
            <w:tcW w:w="2154" w:type="dxa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</w:p>
        </w:tc>
        <w:tc>
          <w:tcPr>
            <w:tcW w:w="1926" w:type="dxa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По запросу</w:t>
            </w:r>
          </w:p>
        </w:tc>
        <w:tc>
          <w:tcPr>
            <w:tcW w:w="4819" w:type="dxa"/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Обеспечение открытости и доступности в освещении мер, принимаемых Фондом по противодействию коррупции.</w:t>
            </w:r>
          </w:p>
        </w:tc>
      </w:tr>
      <w:tr>
        <w:tc>
          <w:tcPr>
            <w:tcW w:w="851" w:type="dxa"/>
          </w:tcPr>
          <w:p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13.</w:t>
            </w:r>
          </w:p>
        </w:tc>
        <w:tc>
          <w:tcPr>
            <w:tcW w:w="4567" w:type="dxa"/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Обеспечение деятельности Комиссии и рассмотрение всех случаев, содержащих основания для ее проведения.</w:t>
            </w:r>
          </w:p>
        </w:tc>
        <w:tc>
          <w:tcPr>
            <w:tcW w:w="2154" w:type="dxa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</w:p>
        </w:tc>
        <w:tc>
          <w:tcPr>
            <w:tcW w:w="1926" w:type="dxa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При наличии оснований</w:t>
            </w:r>
          </w:p>
        </w:tc>
        <w:tc>
          <w:tcPr>
            <w:tcW w:w="4819" w:type="dxa"/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 xml:space="preserve">Обеспечение соблюдения работниками центрального аппарата Фонда и управляющими и заместителями управляющих региональными </w:t>
            </w:r>
            <w:r>
              <w:rPr>
                <w:rFonts w:asciiTheme="minorHAnsi" w:hAnsiTheme="minorHAnsi" w:cs="Times New Roman"/>
                <w:szCs w:val="22"/>
              </w:rPr>
              <w:lastRenderedPageBreak/>
              <w:t>отделениями Фонда ограничений, требований и запретов, установленных законодательством о противодействии коррупции и принятие мер по предупреждению коррупции, требований к служебному поведению, а также выработка мер по предупреждению коррупции в Фонде.</w:t>
            </w:r>
          </w:p>
        </w:tc>
      </w:tr>
      <w:tr>
        <w:tc>
          <w:tcPr>
            <w:tcW w:w="851" w:type="dxa"/>
          </w:tcPr>
          <w:p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lastRenderedPageBreak/>
              <w:t>14.</w:t>
            </w:r>
          </w:p>
        </w:tc>
        <w:tc>
          <w:tcPr>
            <w:tcW w:w="4567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Cs/>
              </w:rPr>
            </w:pPr>
            <w:r>
              <w:rPr>
                <w:rFonts w:cs="Times New Roman"/>
              </w:rPr>
              <w:t xml:space="preserve">Организация приема уведомлений от работников центрального аппарата Фонда, управляющих и заместителей управляющих региональными отделениями Фонда </w:t>
            </w:r>
            <w:r>
              <w:rPr>
                <w:rFonts w:cs="Times New Roman"/>
                <w:bCs/>
              </w:rPr>
              <w:t>о</w:t>
            </w:r>
            <w:r>
              <w:rPr>
                <w:rFonts w:cs="Times New Roman"/>
                <w:b/>
                <w:bCs/>
              </w:rPr>
              <w:t xml:space="preserve"> </w:t>
            </w:r>
            <w:r>
              <w:rPr>
                <w:rFonts w:cs="Times New Roman"/>
                <w:bCs/>
              </w:rPr>
              <w:t>фактах обращения к ним каких-либо лиц в целях склонения к совершению коррупционных правонарушений и возникновении личной заинтересованности при исполнении должностных обязанностей, которая приводит или может привести к конфликту интересов.</w:t>
            </w:r>
          </w:p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 xml:space="preserve"> Организация и проведение соответствующих проверок уведомлений.</w:t>
            </w:r>
          </w:p>
        </w:tc>
        <w:tc>
          <w:tcPr>
            <w:tcW w:w="2154" w:type="dxa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</w:p>
        </w:tc>
        <w:tc>
          <w:tcPr>
            <w:tcW w:w="1926" w:type="dxa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При наличии оснований</w:t>
            </w:r>
          </w:p>
        </w:tc>
        <w:tc>
          <w:tcPr>
            <w:tcW w:w="4819" w:type="dxa"/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Предотвращение совершения работниками центрального аппарата Фонда, управляющими и заместителями управляющих региональными отделениями Фонда коррупционных правонарушений, а также своевременное принятие мер в случае их выявления.</w:t>
            </w:r>
          </w:p>
        </w:tc>
      </w:tr>
      <w:tr>
        <w:tc>
          <w:tcPr>
            <w:tcW w:w="851" w:type="dxa"/>
          </w:tcPr>
          <w:p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15.</w:t>
            </w:r>
          </w:p>
        </w:tc>
        <w:tc>
          <w:tcPr>
            <w:tcW w:w="4567" w:type="dxa"/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Организация работы по повышению квалификации работников центрального аппарата Фонда и управляющих и заместителей управляющих региональными отделениями Фонда, в должностные обязанности которых входит участие в противодействии коррупции.</w:t>
            </w:r>
          </w:p>
        </w:tc>
        <w:tc>
          <w:tcPr>
            <w:tcW w:w="2154" w:type="dxa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департамент, региональные отделения Фонда</w:t>
            </w:r>
          </w:p>
        </w:tc>
        <w:tc>
          <w:tcPr>
            <w:tcW w:w="1926" w:type="dxa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По мере необходимости</w:t>
            </w:r>
          </w:p>
        </w:tc>
        <w:tc>
          <w:tcPr>
            <w:tcW w:w="4819" w:type="dxa"/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Правовое просвещение, повышение уровня знания законодательства о противодействии коррупции работников центрального аппарата Фонда и управляющих и заместителей управляющих региональными отделениями Фонда.</w:t>
            </w:r>
          </w:p>
        </w:tc>
      </w:tr>
      <w:tr>
        <w:tc>
          <w:tcPr>
            <w:tcW w:w="851" w:type="dxa"/>
          </w:tcPr>
          <w:p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16</w:t>
            </w:r>
          </w:p>
        </w:tc>
        <w:tc>
          <w:tcPr>
            <w:tcW w:w="4567" w:type="dxa"/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Организация работы по обучению лиц, впервые принятых на работу в центральный аппарат Фонда и включенных в Перечень должностей.</w:t>
            </w:r>
          </w:p>
        </w:tc>
        <w:tc>
          <w:tcPr>
            <w:tcW w:w="2154" w:type="dxa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</w:p>
        </w:tc>
        <w:tc>
          <w:tcPr>
            <w:tcW w:w="1926" w:type="dxa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По мере необходимости</w:t>
            </w:r>
          </w:p>
        </w:tc>
        <w:tc>
          <w:tcPr>
            <w:tcW w:w="4819" w:type="dxa"/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Правовое просвещение, повышение уровня знания законодательства о противодействии коррупции работников центрального аппарата Фонда.</w:t>
            </w:r>
          </w:p>
        </w:tc>
      </w:tr>
      <w:tr>
        <w:trPr>
          <w:trHeight w:val="1825"/>
        </w:trPr>
        <w:tc>
          <w:tcPr>
            <w:tcW w:w="851" w:type="dxa"/>
          </w:tcPr>
          <w:p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lastRenderedPageBreak/>
              <w:t>17.</w:t>
            </w:r>
          </w:p>
        </w:tc>
        <w:tc>
          <w:tcPr>
            <w:tcW w:w="4567" w:type="dxa"/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Проведение оценки коррупционных рисков.</w:t>
            </w:r>
          </w:p>
        </w:tc>
        <w:tc>
          <w:tcPr>
            <w:tcW w:w="2154" w:type="dxa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</w:p>
        </w:tc>
        <w:tc>
          <w:tcPr>
            <w:tcW w:w="1926" w:type="dxa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До 15 октября</w:t>
            </w:r>
          </w:p>
        </w:tc>
        <w:tc>
          <w:tcPr>
            <w:tcW w:w="4819" w:type="dxa"/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 xml:space="preserve">Корректировка </w:t>
            </w:r>
            <w:hyperlink r:id="rId10" w:history="1">
              <w:r>
                <w:rPr>
                  <w:rFonts w:asciiTheme="minorHAnsi" w:hAnsiTheme="minorHAnsi" w:cs="Times New Roman"/>
                  <w:color w:val="000000" w:themeColor="text1"/>
                  <w:szCs w:val="22"/>
                </w:rPr>
                <w:t>Перечня</w:t>
              </w:r>
            </w:hyperlink>
            <w:r>
              <w:rPr>
                <w:rFonts w:asciiTheme="minorHAnsi" w:hAnsiTheme="minorHAnsi" w:cs="Times New Roman"/>
                <w:szCs w:val="22"/>
              </w:rPr>
              <w:t xml:space="preserve"> должностей, замещение которых связано с коррупционными рисками.</w:t>
            </w:r>
          </w:p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Выработка дополнительных мер по минимизации коррупционных рисков.</w:t>
            </w:r>
          </w:p>
        </w:tc>
      </w:tr>
      <w:tr>
        <w:tc>
          <w:tcPr>
            <w:tcW w:w="851" w:type="dxa"/>
            <w:vMerge w:val="restart"/>
          </w:tcPr>
          <w:p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color w:val="000000" w:themeColor="text1"/>
                <w:szCs w:val="22"/>
              </w:rPr>
              <w:t>18</w:t>
            </w:r>
            <w:r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4567" w:type="dxa"/>
            <w:tcBorders>
              <w:bottom w:val="nil"/>
            </w:tcBorders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 xml:space="preserve">Обеспечение соблюдения работниками центрального аппарата Фонда, управляющими и заместителями управляющих региональными отделениями Фонда и директорами федеральных бюджетных учреждений центров реабилитации Фонда </w:t>
            </w:r>
          </w:p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ограничений, запретов и обязанностей, предусмотренных антикоррупционным законодательством Российской Федерации.</w:t>
            </w:r>
          </w:p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2154" w:type="dxa"/>
            <w:vMerge w:val="restart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Региональные отделения Фонда, федеральные бюджетные учреждения центры реабилитации Фонда,</w:t>
            </w:r>
          </w:p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</w:p>
        </w:tc>
        <w:tc>
          <w:tcPr>
            <w:tcW w:w="1926" w:type="dxa"/>
            <w:tcBorders>
              <w:bottom w:val="nil"/>
            </w:tcBorders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В течение 2021 года</w:t>
            </w:r>
          </w:p>
        </w:tc>
        <w:tc>
          <w:tcPr>
            <w:tcW w:w="4819" w:type="dxa"/>
            <w:vMerge w:val="restart"/>
            <w:tcBorders>
              <w:bottom w:val="nil"/>
            </w:tcBorders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Выявление несоблюдения работниками центрального аппарата Фонда, региональных отделений, и директорами федеральных бюджетных учреждений центров реабилитации Фонда ограничений, запретов и обязанностей, предусмотренных антикоррупционным законодательством Российской Федерации.</w:t>
            </w:r>
          </w:p>
        </w:tc>
      </w:tr>
      <w:tr>
        <w:tblPrEx>
          <w:tblBorders>
            <w:insideH w:val="nil"/>
          </w:tblBorders>
        </w:tblPrEx>
        <w:trPr>
          <w:trHeight w:val="507"/>
        </w:trPr>
        <w:tc>
          <w:tcPr>
            <w:tcW w:w="851" w:type="dxa"/>
            <w:vMerge/>
          </w:tcPr>
          <w:p>
            <w:pPr>
              <w:rPr>
                <w:rFonts w:cs="Times New Roman"/>
              </w:rPr>
            </w:pPr>
          </w:p>
        </w:tc>
        <w:tc>
          <w:tcPr>
            <w:tcW w:w="4567" w:type="dxa"/>
            <w:vMerge w:val="restart"/>
            <w:tcBorders>
              <w:top w:val="nil"/>
              <w:bottom w:val="nil"/>
            </w:tcBorders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2154" w:type="dxa"/>
            <w:vMerge/>
          </w:tcPr>
          <w:p>
            <w:pPr>
              <w:rPr>
                <w:rFonts w:cs="Times New Roman"/>
              </w:rPr>
            </w:pPr>
          </w:p>
        </w:tc>
        <w:tc>
          <w:tcPr>
            <w:tcW w:w="1926" w:type="dxa"/>
            <w:vMerge w:val="restart"/>
            <w:tcBorders>
              <w:top w:val="nil"/>
              <w:bottom w:val="nil"/>
            </w:tcBorders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4819" w:type="dxa"/>
            <w:vMerge/>
            <w:tcBorders>
              <w:bottom w:val="nil"/>
            </w:tcBorders>
          </w:tcPr>
          <w:p>
            <w:pPr>
              <w:rPr>
                <w:rFonts w:cs="Times New Roman"/>
              </w:rPr>
            </w:pPr>
          </w:p>
        </w:tc>
      </w:tr>
      <w:tr>
        <w:tblPrEx>
          <w:tblBorders>
            <w:insideH w:val="nil"/>
          </w:tblBorders>
        </w:tblPrEx>
        <w:trPr>
          <w:trHeight w:val="507"/>
        </w:trPr>
        <w:tc>
          <w:tcPr>
            <w:tcW w:w="851" w:type="dxa"/>
            <w:vMerge/>
          </w:tcPr>
          <w:p>
            <w:pPr>
              <w:rPr>
                <w:rFonts w:cs="Times New Roman"/>
              </w:rPr>
            </w:pPr>
          </w:p>
        </w:tc>
        <w:tc>
          <w:tcPr>
            <w:tcW w:w="4567" w:type="dxa"/>
            <w:vMerge/>
            <w:tcBorders>
              <w:top w:val="nil"/>
              <w:bottom w:val="nil"/>
            </w:tcBorders>
          </w:tcPr>
          <w:p>
            <w:pPr>
              <w:rPr>
                <w:rFonts w:cs="Times New Roman"/>
              </w:rPr>
            </w:pPr>
          </w:p>
        </w:tc>
        <w:tc>
          <w:tcPr>
            <w:tcW w:w="2154" w:type="dxa"/>
            <w:vMerge/>
          </w:tcPr>
          <w:p>
            <w:pPr>
              <w:rPr>
                <w:rFonts w:cs="Times New Roman"/>
              </w:rPr>
            </w:pPr>
          </w:p>
        </w:tc>
        <w:tc>
          <w:tcPr>
            <w:tcW w:w="1926" w:type="dxa"/>
            <w:vMerge/>
            <w:tcBorders>
              <w:top w:val="nil"/>
              <w:bottom w:val="nil"/>
            </w:tcBorders>
          </w:tcPr>
          <w:p>
            <w:pPr>
              <w:rPr>
                <w:rFonts w:cs="Times New Roman"/>
              </w:rPr>
            </w:pPr>
          </w:p>
        </w:tc>
        <w:tc>
          <w:tcPr>
            <w:tcW w:w="4819" w:type="dxa"/>
            <w:vMerge w:val="restart"/>
            <w:tcBorders>
              <w:top w:val="nil"/>
            </w:tcBorders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</w:tc>
      </w:tr>
      <w:tr>
        <w:trPr>
          <w:trHeight w:val="20"/>
        </w:trPr>
        <w:tc>
          <w:tcPr>
            <w:tcW w:w="851" w:type="dxa"/>
            <w:vMerge/>
          </w:tcPr>
          <w:p>
            <w:pPr>
              <w:rPr>
                <w:rFonts w:cs="Times New Roman"/>
              </w:rPr>
            </w:pPr>
          </w:p>
        </w:tc>
        <w:tc>
          <w:tcPr>
            <w:tcW w:w="4567" w:type="dxa"/>
            <w:tcBorders>
              <w:top w:val="nil"/>
            </w:tcBorders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2154" w:type="dxa"/>
            <w:vMerge/>
          </w:tcPr>
          <w:p>
            <w:pPr>
              <w:rPr>
                <w:rFonts w:cs="Times New Roman"/>
              </w:rPr>
            </w:pPr>
          </w:p>
        </w:tc>
        <w:tc>
          <w:tcPr>
            <w:tcW w:w="1926" w:type="dxa"/>
            <w:tcBorders>
              <w:top w:val="nil"/>
            </w:tcBorders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4819" w:type="dxa"/>
            <w:vMerge/>
            <w:tcBorders>
              <w:top w:val="nil"/>
            </w:tcBorders>
          </w:tcPr>
          <w:p>
            <w:pPr>
              <w:rPr>
                <w:rFonts w:cs="Times New Roman"/>
              </w:rPr>
            </w:pPr>
          </w:p>
        </w:tc>
      </w:tr>
      <w:tr>
        <w:tc>
          <w:tcPr>
            <w:tcW w:w="851" w:type="dxa"/>
          </w:tcPr>
          <w:p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19.</w:t>
            </w:r>
          </w:p>
        </w:tc>
        <w:tc>
          <w:tcPr>
            <w:tcW w:w="4567" w:type="dxa"/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Обеспечение взаимодействия с правоохранительными и иными государственными органами по вопросам противодействия коррупции.</w:t>
            </w:r>
          </w:p>
        </w:tc>
        <w:tc>
          <w:tcPr>
            <w:tcW w:w="2154" w:type="dxa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</w:p>
        </w:tc>
        <w:tc>
          <w:tcPr>
            <w:tcW w:w="1926" w:type="dxa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По запросу</w:t>
            </w:r>
          </w:p>
        </w:tc>
        <w:tc>
          <w:tcPr>
            <w:tcW w:w="4819" w:type="dxa"/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Совместное оперативное реагирование на коррупционные правонарушения и обеспечение соблюдения принципа неотвратимости юридической ответственности за коррупционные и иные правонарушения.</w:t>
            </w:r>
          </w:p>
        </w:tc>
      </w:tr>
      <w:tr>
        <w:tc>
          <w:tcPr>
            <w:tcW w:w="851" w:type="dxa"/>
          </w:tcPr>
          <w:p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20.</w:t>
            </w:r>
          </w:p>
        </w:tc>
        <w:tc>
          <w:tcPr>
            <w:tcW w:w="4567" w:type="dxa"/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Разработка и актуализация нормативных правовых актов Фонда, направленных на профилактику коррупции.</w:t>
            </w:r>
          </w:p>
        </w:tc>
        <w:tc>
          <w:tcPr>
            <w:tcW w:w="2154" w:type="dxa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департамент,</w:t>
            </w:r>
          </w:p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Правовой департамент</w:t>
            </w:r>
          </w:p>
        </w:tc>
        <w:tc>
          <w:tcPr>
            <w:tcW w:w="1926" w:type="dxa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По мере необходимости</w:t>
            </w:r>
          </w:p>
        </w:tc>
        <w:tc>
          <w:tcPr>
            <w:tcW w:w="4819" w:type="dxa"/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Обеспечение соблюдения законодательных и иных нормативных правовых актов Российской Федерации в сфере противодействия коррупции.</w:t>
            </w:r>
          </w:p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 xml:space="preserve">Формирование нормативной базы для обеспечения соблюдения работниками Фонда </w:t>
            </w:r>
            <w:r>
              <w:rPr>
                <w:rFonts w:asciiTheme="minorHAnsi" w:hAnsiTheme="minorHAnsi" w:cs="Times New Roman"/>
                <w:szCs w:val="22"/>
              </w:rPr>
              <w:lastRenderedPageBreak/>
              <w:t>законодательства о противодействии коррупции.</w:t>
            </w:r>
          </w:p>
        </w:tc>
      </w:tr>
      <w:tr>
        <w:tc>
          <w:tcPr>
            <w:tcW w:w="851" w:type="dxa"/>
          </w:tcPr>
          <w:p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lastRenderedPageBreak/>
              <w:t>21.</w:t>
            </w:r>
          </w:p>
        </w:tc>
        <w:tc>
          <w:tcPr>
            <w:tcW w:w="4567" w:type="dxa"/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Подготовка обзора судебной практики по вынесению дисциплинарных взысканий за коррупционные правонарушения для работников центрального аппарата Фонда и управляющих и заместителей управляющих региональными отделениями Фонда.</w:t>
            </w:r>
          </w:p>
        </w:tc>
        <w:tc>
          <w:tcPr>
            <w:tcW w:w="2154" w:type="dxa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</w:p>
        </w:tc>
        <w:tc>
          <w:tcPr>
            <w:tcW w:w="1926" w:type="dxa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По мере необходимости</w:t>
            </w:r>
          </w:p>
        </w:tc>
        <w:tc>
          <w:tcPr>
            <w:tcW w:w="4819" w:type="dxa"/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Анализ случаев применения дисциплинарных взысканий и увольнений работников за коррупционные правонарушения.</w:t>
            </w:r>
          </w:p>
        </w:tc>
      </w:tr>
      <w:tr>
        <w:tc>
          <w:tcPr>
            <w:tcW w:w="851" w:type="dxa"/>
            <w:vMerge w:val="restart"/>
          </w:tcPr>
          <w:p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22.</w:t>
            </w:r>
          </w:p>
        </w:tc>
        <w:tc>
          <w:tcPr>
            <w:tcW w:w="4567" w:type="dxa"/>
            <w:vMerge w:val="restart"/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Проведение совещаний (конференций) с работниками региональных отделений Фонда, ответственных за противодействие коррупции, по рассмотрению вопросов о состоянии антикоррупционной работы и принятию мер по ее совершенствованию.</w:t>
            </w:r>
          </w:p>
        </w:tc>
        <w:tc>
          <w:tcPr>
            <w:tcW w:w="2154" w:type="dxa"/>
            <w:vMerge w:val="restart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департамент,</w:t>
            </w:r>
          </w:p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региональные отделения Фонда</w:t>
            </w:r>
          </w:p>
        </w:tc>
        <w:tc>
          <w:tcPr>
            <w:tcW w:w="1926" w:type="dxa"/>
            <w:vMerge w:val="restart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В течение 2021 года</w:t>
            </w:r>
          </w:p>
        </w:tc>
        <w:tc>
          <w:tcPr>
            <w:tcW w:w="4819" w:type="dxa"/>
            <w:tcBorders>
              <w:bottom w:val="nil"/>
            </w:tcBorders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Анализ принятых мер по соблюдению законодательства о противодействии коррупции, выявление типичных коррупционных правонарушений, причин и условий, способствующих совершению коррупционных правонарушений с целью их предотвращения.</w:t>
            </w:r>
          </w:p>
        </w:tc>
      </w:tr>
      <w:tr>
        <w:tc>
          <w:tcPr>
            <w:tcW w:w="851" w:type="dxa"/>
            <w:vMerge/>
          </w:tcPr>
          <w:p>
            <w:pPr>
              <w:rPr>
                <w:rFonts w:cs="Times New Roman"/>
              </w:rPr>
            </w:pPr>
          </w:p>
        </w:tc>
        <w:tc>
          <w:tcPr>
            <w:tcW w:w="4567" w:type="dxa"/>
            <w:vMerge/>
          </w:tcPr>
          <w:p>
            <w:pPr>
              <w:rPr>
                <w:rFonts w:cs="Times New Roman"/>
              </w:rPr>
            </w:pPr>
          </w:p>
        </w:tc>
        <w:tc>
          <w:tcPr>
            <w:tcW w:w="2154" w:type="dxa"/>
            <w:vMerge/>
          </w:tcPr>
          <w:p>
            <w:pPr>
              <w:rPr>
                <w:rFonts w:cs="Times New Roman"/>
              </w:rPr>
            </w:pPr>
          </w:p>
        </w:tc>
        <w:tc>
          <w:tcPr>
            <w:tcW w:w="1926" w:type="dxa"/>
            <w:vMerge/>
          </w:tcPr>
          <w:p>
            <w:pPr>
              <w:rPr>
                <w:rFonts w:cs="Times New Roman"/>
              </w:rPr>
            </w:pPr>
          </w:p>
        </w:tc>
        <w:tc>
          <w:tcPr>
            <w:tcW w:w="4819" w:type="dxa"/>
            <w:tcBorders>
              <w:top w:val="nil"/>
            </w:tcBorders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Выработка мер по профилактике коррупции в региональном отделении Фонда.</w:t>
            </w:r>
          </w:p>
        </w:tc>
      </w:tr>
      <w:tr>
        <w:tc>
          <w:tcPr>
            <w:tcW w:w="851" w:type="dxa"/>
          </w:tcPr>
          <w:p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23.</w:t>
            </w:r>
          </w:p>
        </w:tc>
        <w:tc>
          <w:tcPr>
            <w:tcW w:w="4567" w:type="dxa"/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Проверка соответствия наполнения раздела «Противодействие коррупции» официального сайта Фонда, сайтов региональных отделений Фонда и сайтов федеральных бюджетных учреждений центров реабилитации Фонда требованиям нормативных актов Минтруда России.</w:t>
            </w:r>
          </w:p>
        </w:tc>
        <w:tc>
          <w:tcPr>
            <w:tcW w:w="2154" w:type="dxa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</w:p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1926" w:type="dxa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В течение 2021 года</w:t>
            </w:r>
          </w:p>
        </w:tc>
        <w:tc>
          <w:tcPr>
            <w:tcW w:w="4819" w:type="dxa"/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Обеспечение соблюдения единых требований к размещению и наполнению подразделов сайтов, посвященных вопросам противодействия коррупции.</w:t>
            </w:r>
          </w:p>
        </w:tc>
      </w:tr>
      <w:tr>
        <w:tc>
          <w:tcPr>
            <w:tcW w:w="851" w:type="dxa"/>
          </w:tcPr>
          <w:p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24.</w:t>
            </w:r>
          </w:p>
        </w:tc>
        <w:tc>
          <w:tcPr>
            <w:tcW w:w="4567" w:type="dxa"/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Проведение с работниками центрального аппарата Фонда и управляющими и заместителями управляющих региональными отделениями Фонда, а также с директорами федеральных бюджетных учреждений центров реабилитации Фонда методической и разъяснительной работы по вопросам представления полных и достоверных сведений о доходах.</w:t>
            </w:r>
          </w:p>
        </w:tc>
        <w:tc>
          <w:tcPr>
            <w:tcW w:w="2154" w:type="dxa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</w:p>
        </w:tc>
        <w:tc>
          <w:tcPr>
            <w:tcW w:w="1926" w:type="dxa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1 раз в год</w:t>
            </w:r>
          </w:p>
        </w:tc>
        <w:tc>
          <w:tcPr>
            <w:tcW w:w="4819" w:type="dxa"/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 xml:space="preserve">Разъяснительная и консультативная работа, направленная на обеспечение овладения работниками центрального аппарата Фонда и управляющими  и заместителями управляющих региональными отделениями Фонда и директорами федеральных бюджетных учреждений центров реабилитации Фонда навыками работы с программным обеспечением «Справки БК»; выполнение соответствующими работниками обязанности представлять полные </w:t>
            </w:r>
            <w:r>
              <w:rPr>
                <w:rFonts w:asciiTheme="minorHAnsi" w:hAnsiTheme="minorHAnsi" w:cs="Times New Roman"/>
                <w:szCs w:val="22"/>
              </w:rPr>
              <w:lastRenderedPageBreak/>
              <w:t>и достоверные сведения о доходах, а также обеспечение соблюдения ими антикоррупционного законодательства.</w:t>
            </w:r>
          </w:p>
        </w:tc>
      </w:tr>
      <w:tr>
        <w:tc>
          <w:tcPr>
            <w:tcW w:w="851" w:type="dxa"/>
          </w:tcPr>
          <w:p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lastRenderedPageBreak/>
              <w:t>25.</w:t>
            </w:r>
          </w:p>
        </w:tc>
        <w:tc>
          <w:tcPr>
            <w:tcW w:w="4567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Осуществление организации по включению лиц, уволенных в связи с утратой доверия в специальный реестр лиц, уволенных в связи с утратой доверия, предусмотренный статьей 15 Федерального закона от 25.12.2008                № 273-ФЗ «О противодействии коррупции».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</w:rPr>
            </w:pPr>
          </w:p>
        </w:tc>
        <w:tc>
          <w:tcPr>
            <w:tcW w:w="2154" w:type="dxa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</w:p>
        </w:tc>
        <w:tc>
          <w:tcPr>
            <w:tcW w:w="1926" w:type="dxa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При имеющемся взыскании</w:t>
            </w:r>
          </w:p>
        </w:tc>
        <w:tc>
          <w:tcPr>
            <w:tcW w:w="4819" w:type="dxa"/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Обеспечение соблюдения законодательства о противодействии коррупции.</w:t>
            </w:r>
          </w:p>
        </w:tc>
      </w:tr>
      <w:tr>
        <w:tc>
          <w:tcPr>
            <w:tcW w:w="851" w:type="dxa"/>
          </w:tcPr>
          <w:p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26.</w:t>
            </w:r>
          </w:p>
        </w:tc>
        <w:tc>
          <w:tcPr>
            <w:tcW w:w="4567" w:type="dxa"/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 xml:space="preserve">Совершенствование процесса осуществления государственных закупок в центральном аппарате Фонда, в региональных отделениях Фонда и в федеральных бюджетных учреждениях </w:t>
            </w:r>
          </w:p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центрах реабилитации Фонда.</w:t>
            </w:r>
          </w:p>
        </w:tc>
        <w:tc>
          <w:tcPr>
            <w:tcW w:w="2154" w:type="dxa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Департамент контрактной системы в сфере закупок Фонда, территориальных органов и подведомственных учреждений,</w:t>
            </w:r>
          </w:p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региональные отделения Фонда,</w:t>
            </w:r>
          </w:p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 xml:space="preserve">федеральные бюджетные учреждения </w:t>
            </w:r>
          </w:p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центры реабилитации Фонда</w:t>
            </w:r>
          </w:p>
        </w:tc>
        <w:tc>
          <w:tcPr>
            <w:tcW w:w="1926" w:type="dxa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В течение 2021 года</w:t>
            </w:r>
          </w:p>
        </w:tc>
        <w:tc>
          <w:tcPr>
            <w:tcW w:w="4819" w:type="dxa"/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Обеспечение соблюдения законодательных и иных нормативных правовых актов Российской Федерации о контрактной системе в сфере закупок товаров, работ, услуг.</w:t>
            </w:r>
          </w:p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</w:tc>
      </w:tr>
      <w:tr>
        <w:tc>
          <w:tcPr>
            <w:tcW w:w="851" w:type="dxa"/>
          </w:tcPr>
          <w:p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27.</w:t>
            </w:r>
          </w:p>
        </w:tc>
        <w:tc>
          <w:tcPr>
            <w:tcW w:w="4567" w:type="dxa"/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 xml:space="preserve">Организация приема уведомлений граждан от при приеме на работу в центральный аппарат Фонда и региональные отделения Фонда на должности, входящие в Перечень должностей </w:t>
            </w:r>
            <w:r>
              <w:rPr>
                <w:rFonts w:asciiTheme="minorHAnsi" w:hAnsiTheme="minorHAnsi" w:cs="Times New Roman"/>
                <w:szCs w:val="22"/>
              </w:rPr>
              <w:lastRenderedPageBreak/>
              <w:t>о наличии цифровых финансовых активов, цифровых прав, включающих одновременно цифровые финансовые активы и иные цифровые права, утилитарных цифровых прав, цифровой валюты.</w:t>
            </w:r>
          </w:p>
        </w:tc>
        <w:tc>
          <w:tcPr>
            <w:tcW w:w="2154" w:type="dxa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lastRenderedPageBreak/>
              <w:t>Административно-контрольный департамент,</w:t>
            </w:r>
          </w:p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 xml:space="preserve">региональные </w:t>
            </w:r>
            <w:r>
              <w:rPr>
                <w:rFonts w:asciiTheme="minorHAnsi" w:hAnsiTheme="minorHAnsi" w:cs="Times New Roman"/>
                <w:szCs w:val="22"/>
              </w:rPr>
              <w:lastRenderedPageBreak/>
              <w:t>отделения Фонда</w:t>
            </w:r>
          </w:p>
        </w:tc>
        <w:tc>
          <w:tcPr>
            <w:tcW w:w="1926" w:type="dxa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lastRenderedPageBreak/>
              <w:t>По мере поступления</w:t>
            </w:r>
          </w:p>
        </w:tc>
        <w:tc>
          <w:tcPr>
            <w:tcW w:w="4819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Исполнение Указа Президента Российской Федерации от 10.12.2020       № 778 «О мерах по реализации отдельных положений Федерального закона «О цифровых финансовых </w:t>
            </w:r>
            <w:r>
              <w:rPr>
                <w:rFonts w:cs="Times New Roman"/>
              </w:rPr>
              <w:lastRenderedPageBreak/>
              <w:t>активах, цифровой валюте и о внесении изменений в отдельные законодательные акты Российской Федерации».</w:t>
            </w:r>
          </w:p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</w:tc>
      </w:tr>
      <w:tr>
        <w:tc>
          <w:tcPr>
            <w:tcW w:w="851" w:type="dxa"/>
            <w:vMerge w:val="restart"/>
          </w:tcPr>
          <w:p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lastRenderedPageBreak/>
              <w:t>28.</w:t>
            </w:r>
          </w:p>
        </w:tc>
        <w:tc>
          <w:tcPr>
            <w:tcW w:w="4567" w:type="dxa"/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Представление информации о ходе реализации мер по противодействию коррупции в Фонде в Минтруд России с использованием единой системы мониторинга антикоррупционной работы.</w:t>
            </w:r>
          </w:p>
        </w:tc>
        <w:tc>
          <w:tcPr>
            <w:tcW w:w="2154" w:type="dxa"/>
            <w:vMerge w:val="restart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департамент,</w:t>
            </w:r>
          </w:p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 xml:space="preserve">региональные отделения Фонда </w:t>
            </w:r>
          </w:p>
        </w:tc>
        <w:tc>
          <w:tcPr>
            <w:tcW w:w="1926" w:type="dxa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4819" w:type="dxa"/>
            <w:vMerge w:val="restart"/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Выполнение поручений Минтруда России по представлению информации о мерах по противодействию коррупции.</w:t>
            </w:r>
          </w:p>
        </w:tc>
      </w:tr>
      <w:tr>
        <w:tc>
          <w:tcPr>
            <w:tcW w:w="851" w:type="dxa"/>
            <w:vMerge/>
          </w:tcPr>
          <w:p>
            <w:pPr>
              <w:rPr>
                <w:rFonts w:cs="Times New Roman"/>
              </w:rPr>
            </w:pPr>
          </w:p>
        </w:tc>
        <w:tc>
          <w:tcPr>
            <w:tcW w:w="4567" w:type="dxa"/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а) за I квартал отчетного года</w:t>
            </w:r>
          </w:p>
        </w:tc>
        <w:tc>
          <w:tcPr>
            <w:tcW w:w="2154" w:type="dxa"/>
            <w:vMerge/>
          </w:tcPr>
          <w:p>
            <w:pPr>
              <w:rPr>
                <w:rFonts w:cs="Times New Roman"/>
              </w:rPr>
            </w:pPr>
          </w:p>
        </w:tc>
        <w:tc>
          <w:tcPr>
            <w:tcW w:w="1926" w:type="dxa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а) до 30 мая</w:t>
            </w:r>
          </w:p>
        </w:tc>
        <w:tc>
          <w:tcPr>
            <w:tcW w:w="4819" w:type="dxa"/>
            <w:vMerge/>
          </w:tcPr>
          <w:p>
            <w:pPr>
              <w:rPr>
                <w:rFonts w:cs="Times New Roman"/>
              </w:rPr>
            </w:pPr>
          </w:p>
        </w:tc>
      </w:tr>
      <w:tr>
        <w:tc>
          <w:tcPr>
            <w:tcW w:w="851" w:type="dxa"/>
            <w:vMerge/>
          </w:tcPr>
          <w:p>
            <w:pPr>
              <w:rPr>
                <w:rFonts w:cs="Times New Roman"/>
              </w:rPr>
            </w:pPr>
          </w:p>
        </w:tc>
        <w:tc>
          <w:tcPr>
            <w:tcW w:w="4567" w:type="dxa"/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б) за II квартал отчетного года</w:t>
            </w:r>
          </w:p>
        </w:tc>
        <w:tc>
          <w:tcPr>
            <w:tcW w:w="2154" w:type="dxa"/>
            <w:vMerge/>
          </w:tcPr>
          <w:p>
            <w:pPr>
              <w:rPr>
                <w:rFonts w:cs="Times New Roman"/>
              </w:rPr>
            </w:pPr>
          </w:p>
        </w:tc>
        <w:tc>
          <w:tcPr>
            <w:tcW w:w="1926" w:type="dxa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б) до 31 августа</w:t>
            </w:r>
          </w:p>
        </w:tc>
        <w:tc>
          <w:tcPr>
            <w:tcW w:w="4819" w:type="dxa"/>
            <w:vMerge/>
          </w:tcPr>
          <w:p>
            <w:pPr>
              <w:rPr>
                <w:rFonts w:cs="Times New Roman"/>
              </w:rPr>
            </w:pPr>
          </w:p>
        </w:tc>
      </w:tr>
      <w:tr>
        <w:tc>
          <w:tcPr>
            <w:tcW w:w="851" w:type="dxa"/>
            <w:vMerge/>
          </w:tcPr>
          <w:p>
            <w:pPr>
              <w:rPr>
                <w:rFonts w:cs="Times New Roman"/>
              </w:rPr>
            </w:pPr>
          </w:p>
        </w:tc>
        <w:tc>
          <w:tcPr>
            <w:tcW w:w="4567" w:type="dxa"/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в) за III квартал отчетного года</w:t>
            </w:r>
          </w:p>
        </w:tc>
        <w:tc>
          <w:tcPr>
            <w:tcW w:w="2154" w:type="dxa"/>
            <w:vMerge/>
          </w:tcPr>
          <w:p>
            <w:pPr>
              <w:rPr>
                <w:rFonts w:cs="Times New Roman"/>
              </w:rPr>
            </w:pPr>
          </w:p>
        </w:tc>
        <w:tc>
          <w:tcPr>
            <w:tcW w:w="1926" w:type="dxa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в) до 09 ноября</w:t>
            </w:r>
          </w:p>
        </w:tc>
        <w:tc>
          <w:tcPr>
            <w:tcW w:w="4819" w:type="dxa"/>
            <w:vMerge/>
          </w:tcPr>
          <w:p>
            <w:pPr>
              <w:rPr>
                <w:rFonts w:cs="Times New Roman"/>
              </w:rPr>
            </w:pPr>
          </w:p>
        </w:tc>
      </w:tr>
      <w:tr>
        <w:tc>
          <w:tcPr>
            <w:tcW w:w="851" w:type="dxa"/>
            <w:vMerge/>
          </w:tcPr>
          <w:p>
            <w:pPr>
              <w:rPr>
                <w:rFonts w:cs="Times New Roman"/>
              </w:rPr>
            </w:pPr>
          </w:p>
        </w:tc>
        <w:tc>
          <w:tcPr>
            <w:tcW w:w="4567" w:type="dxa"/>
          </w:tcPr>
          <w:p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г) за отчетный год</w:t>
            </w:r>
          </w:p>
        </w:tc>
        <w:tc>
          <w:tcPr>
            <w:tcW w:w="2154" w:type="dxa"/>
            <w:vMerge/>
          </w:tcPr>
          <w:p>
            <w:pPr>
              <w:rPr>
                <w:rFonts w:cs="Times New Roman"/>
              </w:rPr>
            </w:pPr>
          </w:p>
        </w:tc>
        <w:tc>
          <w:tcPr>
            <w:tcW w:w="1926" w:type="dxa"/>
          </w:tcPr>
          <w:p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>
              <w:rPr>
                <w:rFonts w:asciiTheme="minorHAnsi" w:hAnsiTheme="minorHAnsi" w:cs="Times New Roman"/>
                <w:szCs w:val="22"/>
              </w:rPr>
              <w:t>г) до 01 марта 2022 года</w:t>
            </w:r>
          </w:p>
        </w:tc>
        <w:tc>
          <w:tcPr>
            <w:tcW w:w="4819" w:type="dxa"/>
            <w:vMerge/>
          </w:tcPr>
          <w:p>
            <w:pPr>
              <w:rPr>
                <w:rFonts w:cs="Times New Roman"/>
              </w:rPr>
            </w:pPr>
          </w:p>
        </w:tc>
      </w:tr>
    </w:tbl>
    <w:p>
      <w:pPr>
        <w:rPr>
          <w:rFonts w:cs="Times New Roman"/>
        </w:rPr>
      </w:pPr>
    </w:p>
    <w:sectPr>
      <w:headerReference w:type="default" r:id="rId11"/>
      <w:pgSz w:w="16838" w:h="11905" w:orient="landscape"/>
      <w:pgMar w:top="568" w:right="1134" w:bottom="850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9798711"/>
      <w:docPartObj>
        <w:docPartGallery w:val="Page Numbers (Top of Page)"/>
        <w:docPartUnique/>
      </w:docPartObj>
    </w:sdtPr>
    <w:sdtContent>
      <w:p>
        <w:pPr>
          <w:pStyle w:val="a5"/>
          <w:jc w:val="center"/>
        </w:pPr>
      </w:p>
      <w:p>
        <w:pPr>
          <w:pStyle w:val="a5"/>
          <w:jc w:val="center"/>
        </w:pPr>
      </w:p>
      <w:p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2F4632063A983434414D8B23087086072D0F817FDEA40F0F8B1CE89AE250627042F355C24D8C3A7300562D5856372CA2945A9CBEE324EF00b5H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BEC4B28F04A1656B8CB113EAF2B794CD2F0F995DEE21EDABDC98642FC6418CCD9BBFE510619B0B852514D35150281B4F34C953FCC459FEEs2bA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C2F4632063A983434414D8B23087086072D0F817FDEA40F0F8B1CE89AE250627042F355C24D8C3A7300562D5856372CA2945A9CBEE324EF00b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52AFB-7328-4E89-B58D-D228692D8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3242</Words>
  <Characters>18486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ЦА ФСС РФ</Company>
  <LinksUpToDate>false</LinksUpToDate>
  <CharactersWithSpaces>21685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Петухова Юлия Александровна</dc:creator>
  <cp:lastModifiedBy>Попова Анастасия Вячеславовна</cp:lastModifiedBy>
  <cp:revision>2</cp:revision>
  <cp:lastPrinted>2021-03-22T10:21:00Z</cp:lastPrinted>
  <dcterms:created xsi:type="dcterms:W3CDTF">2021-04-16T08:47:00Z</dcterms:created>
  <dcterms:modified xsi:type="dcterms:W3CDTF">2021-04-16T08:47:00Z</dcterms:modified>
</cp:coreProperties>
</file>